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关于组织开展大连海洋大学2019年</w:t>
      </w:r>
    </w:p>
    <w:p>
      <w:pPr>
        <w:keepNext w:val="0"/>
        <w:keepLines w:val="0"/>
        <w:pageBreakBefore w:val="0"/>
        <w:framePr w:wrap="auto" w:vAnchor="margin" w:hAnchor="text" w:yAlign="inline"/>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“春暖大海大”系列志愿活动的通知</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各学院团委：</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习近平新时代中国特色社会主义思想和党的十九大精神，贯彻落实省委教育工委及省教育厅关于2019年“春暖辽宁”主题志愿服务活动文件要求，推进我校学雷锋志愿服务制度化常态化，强化学生责任意识和奉献意识。营造校园志愿服务文化氛围，弘扬“奉献、友爱、互助、进步”的志愿服务精神，发挥志愿服务在培育和践行社会主义核心价值观中的重要作用。结合我校实际，现将2019年“春暖大海大”志愿服务活动的相关事宜通知如下：</w:t>
      </w:r>
    </w:p>
    <w:p>
      <w:pPr>
        <w:keepNext w:val="0"/>
        <w:keepLines w:val="0"/>
        <w:pageBreakBefore w:val="0"/>
        <w:framePr w:wrap="auto" w:vAnchor="margin" w:hAnchor="text" w:yAlign="inline"/>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ind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活动目的</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着眼培养时代新人，积极培育和践行社会主义核心价值观，组织动员广大学生和社团组织广泛开展形式多样的志愿服务活动，传播奉献友爱互助进步的志愿精神，营造向上向善、德行天下的良好风尚，推动学雷锋志愿服务在全校蔚然成风。</w:t>
      </w:r>
    </w:p>
    <w:p>
      <w:pPr>
        <w:keepNext w:val="0"/>
        <w:keepLines w:val="0"/>
        <w:pageBreakBefore w:val="0"/>
        <w:framePr w:wrap="auto" w:vAnchor="margin" w:hAnchor="text" w:yAlign="inline"/>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ind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活动主题</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弘扬志愿精神，争做文明青年</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ind w:firstLine="320" w:firstLineChars="1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三、活动时间</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2019年全年</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四、活动内容</w:t>
      </w:r>
    </w:p>
    <w:p>
      <w:pPr>
        <w:keepNext w:val="0"/>
        <w:keepLines w:val="0"/>
        <w:pageBreakBefore w:val="0"/>
        <w:framePr w:wrap="auto" w:vAnchor="margin" w:hAnchor="text" w:yAlign="inline"/>
        <w:widowControl/>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ind w:left="159" w:lef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3月5日-15日，开展“青春建功新时代，志愿奉献我先行”学雷锋志愿服务活动</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推动团干部、团员注册成为志愿者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志愿辽宁”注册志愿者管理系统，紧抓“3·5”有利契机，专兼职团干部要率先注册成为志愿者，力争2019年我校90%以上的团员注册志愿者。同时，注重发挥好注册志愿者的骨干作用，将志愿服务经历作为开展团内评选表彰和选拔志愿服务重点项目志愿者的重要条件。</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开展“我心目中的雷锋精神”</w:t>
      </w:r>
      <w:r>
        <w:rPr>
          <w:rFonts w:hint="eastAsia" w:ascii="仿宋_GB2312" w:hAnsi="仿宋_GB2312" w:eastAsia="仿宋_GB2312" w:cs="仿宋_GB2312"/>
          <w:sz w:val="32"/>
          <w:szCs w:val="32"/>
          <w:lang w:val="en-US" w:eastAsia="zh-CN"/>
        </w:rPr>
        <w:t>短视频拍摄大赛</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围绕“我心目中的雷锋精神”这一主题，开展</w:t>
      </w:r>
      <w:r>
        <w:rPr>
          <w:rFonts w:hint="eastAsia" w:ascii="仿宋_GB2312" w:hAnsi="仿宋_GB2312" w:eastAsia="仿宋_GB2312" w:cs="仿宋_GB2312"/>
          <w:sz w:val="32"/>
          <w:szCs w:val="32"/>
          <w:lang w:val="en-US" w:eastAsia="zh-CN"/>
        </w:rPr>
        <w:t>短视频拍摄</w:t>
      </w:r>
      <w:r>
        <w:rPr>
          <w:rFonts w:hint="eastAsia" w:ascii="仿宋_GB2312" w:hAnsi="仿宋_GB2312" w:eastAsia="仿宋_GB2312" w:cs="仿宋_GB2312"/>
          <w:sz w:val="32"/>
          <w:szCs w:val="32"/>
        </w:rPr>
        <w:t>活动。要深入挖掘身边传承雷锋精神的先进个人、先进事迹、典型案例，</w:t>
      </w:r>
      <w:r>
        <w:rPr>
          <w:rFonts w:hint="eastAsia" w:ascii="仿宋_GB2312" w:hAnsi="仿宋_GB2312" w:eastAsia="仿宋_GB2312" w:cs="仿宋_GB2312"/>
          <w:sz w:val="32"/>
          <w:szCs w:val="32"/>
          <w:lang w:val="en-US" w:eastAsia="zh-CN"/>
        </w:rPr>
        <w:t>拍摄</w:t>
      </w:r>
      <w:r>
        <w:rPr>
          <w:rFonts w:hint="eastAsia" w:ascii="仿宋_GB2312" w:hAnsi="仿宋_GB2312" w:eastAsia="仿宋_GB2312" w:cs="仿宋_GB2312"/>
          <w:sz w:val="32"/>
          <w:szCs w:val="32"/>
        </w:rPr>
        <w:t>身边的好人好事，记录周围令人感动的榜样，要达到通过</w:t>
      </w:r>
      <w:r>
        <w:rPr>
          <w:rFonts w:hint="eastAsia" w:ascii="仿宋_GB2312" w:hAnsi="仿宋_GB2312" w:eastAsia="仿宋_GB2312" w:cs="仿宋_GB2312"/>
          <w:sz w:val="32"/>
          <w:szCs w:val="32"/>
          <w:lang w:val="en-US" w:eastAsia="zh-CN"/>
        </w:rPr>
        <w:t>短视频</w:t>
      </w:r>
      <w:r>
        <w:rPr>
          <w:rFonts w:hint="eastAsia" w:ascii="仿宋_GB2312" w:hAnsi="仿宋_GB2312" w:eastAsia="仿宋_GB2312" w:cs="仿宋_GB2312"/>
          <w:sz w:val="32"/>
          <w:szCs w:val="32"/>
        </w:rPr>
        <w:t>弘扬雷锋精神，抒发对雷锋精神的感悟、理解和认识。通过</w:t>
      </w:r>
      <w:r>
        <w:rPr>
          <w:rFonts w:hint="eastAsia" w:ascii="仿宋_GB2312" w:hAnsi="仿宋_GB2312" w:eastAsia="仿宋_GB2312" w:cs="仿宋_GB2312"/>
          <w:sz w:val="32"/>
          <w:szCs w:val="32"/>
          <w:lang w:val="en-US" w:eastAsia="zh-CN"/>
        </w:rPr>
        <w:t>短视频拍摄大赛</w:t>
      </w:r>
      <w:r>
        <w:rPr>
          <w:rFonts w:hint="eastAsia" w:ascii="仿宋_GB2312" w:hAnsi="仿宋_GB2312" w:eastAsia="仿宋_GB2312" w:cs="仿宋_GB2312"/>
          <w:sz w:val="32"/>
          <w:szCs w:val="32"/>
        </w:rPr>
        <w:t>活动的开展不断促进广大师生主动思考传承雷锋精神的做法，探讨“为什么学雷锋、学雷锋学什么、学雷锋如何学”等问题。</w:t>
      </w:r>
      <w:r>
        <w:rPr>
          <w:rFonts w:hint="eastAsia" w:ascii="仿宋_GB2312" w:hAnsi="仿宋_GB2312" w:eastAsia="仿宋_GB2312" w:cs="仿宋_GB2312"/>
          <w:sz w:val="32"/>
          <w:szCs w:val="32"/>
          <w:lang w:val="en-US" w:eastAsia="zh-CN"/>
        </w:rPr>
        <w:t>视频</w:t>
      </w:r>
      <w:r>
        <w:rPr>
          <w:rFonts w:hint="eastAsia" w:ascii="仿宋_GB2312" w:hAnsi="仿宋_GB2312" w:eastAsia="仿宋_GB2312" w:cs="仿宋_GB2312"/>
          <w:sz w:val="32"/>
          <w:szCs w:val="32"/>
        </w:rPr>
        <w:t>要求主题鲜明、故事感人、情节生动。</w:t>
      </w:r>
      <w:r>
        <w:rPr>
          <w:rFonts w:hint="eastAsia" w:ascii="仿宋_GB2312" w:hAnsi="仿宋_GB2312" w:eastAsia="仿宋_GB2312" w:cs="仿宋_GB2312"/>
          <w:sz w:val="32"/>
          <w:szCs w:val="32"/>
          <w:lang w:val="en-US" w:eastAsia="zh-CN"/>
        </w:rPr>
        <w:t>时长在五分钟至七分钟</w:t>
      </w:r>
      <w:r>
        <w:rPr>
          <w:rFonts w:hint="eastAsia" w:ascii="仿宋_GB2312" w:hAnsi="仿宋_GB2312" w:eastAsia="仿宋_GB2312" w:cs="仿宋_GB2312"/>
          <w:sz w:val="32"/>
          <w:szCs w:val="32"/>
        </w:rPr>
        <w:t>之间。各学院要精心组织、积极动员，于3月1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日前选送不少</w:t>
      </w:r>
      <w:r>
        <w:rPr>
          <w:rFonts w:hint="eastAsia" w:ascii="仿宋_GB2312" w:hAnsi="仿宋_GB2312" w:eastAsia="仿宋_GB2312" w:cs="仿宋_GB2312"/>
          <w:sz w:val="32"/>
          <w:szCs w:val="32"/>
          <w:lang w:val="en-US" w:eastAsia="zh-CN"/>
        </w:rPr>
        <w:t>一份的短视频。</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（二）3月中旬-4月末，开展“我心目中的雷锋精神”短视频拍摄大赛颁奖典礼、“我身边的好人好事”演讲比赛。</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3月15日-4月15日，由各学院组织开展“我身边的好人好事”演讲比赛初赛。每学院可选送1-2人参加决赛，要求演讲内容主题鲜明，真情实感，贴近生活。</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（三）5月，开展“纪念五四运动100周年，寻找身边的雷锋”活动。</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各学院充分利用微信公众平台进行留言抖音、微博渠道记录参加志愿活动，对身边志愿服务的个人，先进事迹予以宣传，并@团委官方为新平台</w:t>
      </w:r>
      <w:bookmarkStart w:id="0" w:name="_GoBack"/>
      <w:bookmarkEnd w:id="0"/>
      <w:r>
        <w:rPr>
          <w:rFonts w:hint="eastAsia" w:ascii="仿宋_GB2312" w:hAnsi="仿宋_GB2312" w:eastAsia="仿宋_GB2312" w:cs="仿宋_GB2312"/>
          <w:sz w:val="32"/>
          <w:szCs w:val="32"/>
          <w:lang w:val="en-US" w:eastAsia="zh-CN"/>
        </w:rPr>
        <w:t>累计打卡，满二十天将会获得由校团委准备的特别礼物。</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（四）6月，实施“共享新时代·共建新辽宁”公益环保活动。</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各学院依托社团等相关组织，以</w:t>
      </w:r>
      <w:r>
        <w:rPr>
          <w:rFonts w:hint="eastAsia" w:ascii="仿宋_GB2312" w:hAnsi="仿宋_GB2312" w:eastAsia="仿宋_GB2312" w:cs="仿宋_GB2312"/>
          <w:sz w:val="32"/>
          <w:szCs w:val="32"/>
          <w:lang w:val="en-US" w:eastAsia="zh-CN"/>
        </w:rPr>
        <w:t>世界</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日为契机，推广“地球一小时”“文明一升水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等简单可行的青年团员环保公益项目，引导广大青年团员争做环保志愿者，积极投身美丽辽宁建设</w:t>
      </w:r>
      <w:r>
        <w:rPr>
          <w:rFonts w:hint="eastAsia" w:ascii="仿宋_GB2312" w:hAnsi="仿宋_GB2312" w:eastAsia="仿宋_GB2312" w:cs="仿宋_GB2312"/>
          <w:sz w:val="32"/>
          <w:szCs w:val="32"/>
          <w:lang w:eastAsia="zh-CN"/>
        </w:rPr>
        <w:t>。</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（五）7月-8月，开展“推动移风易俗,弘扬时代新风”主题志愿活动。</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320" w:firstLineChars="100"/>
        <w:jc w:val="both"/>
        <w:textAlignment w:val="auto"/>
        <w:outlineLvl w:val="9"/>
        <w:rPr>
          <w:rFonts w:hint="eastAsia" w:ascii="楷体" w:hAnsi="楷体" w:eastAsia="楷体" w:cs="楷体"/>
          <w:sz w:val="32"/>
          <w:szCs w:val="32"/>
          <w:lang w:val="en-US" w:eastAsia="zh-CN"/>
        </w:rPr>
      </w:pP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rPr>
        <w:t>志愿者团队，深入贫困地区开展扶志教育活动，</w:t>
      </w:r>
      <w:r>
        <w:rPr>
          <w:rFonts w:hint="eastAsia" w:ascii="仿宋_GB2312" w:hAnsi="仿宋_GB2312" w:eastAsia="仿宋_GB2312" w:cs="仿宋_GB2312"/>
          <w:sz w:val="32"/>
          <w:szCs w:val="32"/>
          <w:lang w:val="en-US" w:eastAsia="zh-CN"/>
        </w:rPr>
        <w:t>振奋</w:t>
      </w:r>
      <w:r>
        <w:rPr>
          <w:rFonts w:hint="eastAsia" w:ascii="仿宋_GB2312" w:hAnsi="仿宋_GB2312" w:eastAsia="仿宋_GB2312" w:cs="仿宋_GB2312"/>
          <w:sz w:val="32"/>
          <w:szCs w:val="32"/>
        </w:rPr>
        <w:t>贫困地区群众脱贫的信心,激发人们的志气和斗志,不断增强脱贫的内生动力。为农村留守儿童和城市流动儿童提供学习</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品、学业辅导、亲情陪伴、感受城市、自护教育、爱心捐赠等志愿服务内容。</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（六）9月，开展“从身边小事做起，服务校园建设”专项志愿服务活动。</w:t>
      </w:r>
    </w:p>
    <w:p>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组织全校广大青年团员立足校内，开展美化校园（办公楼、教学楼、实验室、学生公寓等）、环保宣传、节水节电、光盘行动、爱心传递、文明交通等一系列校园志愿服务活动。</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（七）10月，庆祝</w:t>
      </w:r>
      <w:r>
        <w:rPr>
          <w:rFonts w:hint="default" w:ascii="楷体" w:hAnsi="楷体" w:eastAsia="楷体" w:cs="楷体"/>
          <w:sz w:val="32"/>
          <w:szCs w:val="32"/>
          <w:lang w:val="en-US" w:eastAsia="zh-CN"/>
        </w:rPr>
        <w:t>新中国成立70周年</w:t>
      </w:r>
      <w:r>
        <w:rPr>
          <w:rFonts w:hint="eastAsia" w:ascii="楷体" w:hAnsi="楷体" w:eastAsia="楷体" w:cs="楷体"/>
          <w:sz w:val="32"/>
          <w:szCs w:val="32"/>
          <w:lang w:val="en-US" w:eastAsia="zh-CN"/>
        </w:rPr>
        <w:t>，开展“进社区，送温暖”助残志愿服务活动。</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组织学生志愿者走进空巢老人、留守儿童、贫困家庭和残疾人家中开展结对帮扶活动，帮助打扫卫生、料理家务、拉家常，帮助置办节日用品，开展“共进团圆饭、</w:t>
      </w:r>
      <w:r>
        <w:rPr>
          <w:rFonts w:hint="eastAsia"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rPr>
        <w:t>员奉献日、尊老敬老日”等节日活动，组织他们参加文化活动，对他们进行心理抚慰和疏导。</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（八）12月初，总结表彰。</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楷体" w:hAnsi="楷体" w:eastAsia="楷体" w:cs="楷体"/>
          <w:sz w:val="32"/>
          <w:szCs w:val="32"/>
          <w:lang w:val="en-US" w:eastAsia="zh-CN"/>
        </w:rPr>
      </w:pPr>
      <w:r>
        <w:rPr>
          <w:rFonts w:hint="eastAsia" w:ascii="仿宋_GB2312" w:hAnsi="仿宋_GB2312" w:eastAsia="仿宋_GB2312" w:cs="仿宋_GB2312"/>
          <w:sz w:val="32"/>
          <w:szCs w:val="32"/>
        </w:rPr>
        <w:t>校团委将结合活动开展情况，对志愿服务系列活动的突出个人、集体予以表彰。</w:t>
      </w:r>
    </w:p>
    <w:p>
      <w:pPr>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atLeas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五、活动要求</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（一）高度重视，加强领导。</w:t>
      </w:r>
    </w:p>
    <w:p>
      <w:pPr>
        <w:jc w:val="left"/>
        <w:rPr>
          <w:rFonts w:hint="eastAsia"/>
          <w:lang w:val="en-US" w:eastAsia="zh-CN"/>
        </w:rPr>
      </w:pP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开展“弘扬志愿精神，争做文明青年”2019年“春暖辽宁”主题系列志愿活动是进一步倡树文明新风、促进和谐校园建设的有效载体，各院部要高度重视，加强领导，形成良好的志愿服务工作格局。</w:t>
      </w:r>
    </w:p>
    <w:p>
      <w:pPr>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line="560" w:lineRule="atLeast"/>
        <w:ind w:firstLine="320" w:firstLineChars="1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（二）整合资源，注重长效。</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 w:hAnsi="仿宋" w:eastAsia="仿宋" w:cs="仿宋"/>
          <w:i w:val="0"/>
          <w:caps w:val="0"/>
          <w:color w:val="423B3B"/>
          <w:spacing w:val="0"/>
          <w:sz w:val="32"/>
          <w:szCs w:val="32"/>
          <w:u w:val="none"/>
          <w:lang w:val="en-US" w:eastAsia="zh-CN"/>
        </w:rPr>
      </w:pPr>
      <w:r>
        <w:rPr>
          <w:rFonts w:hint="eastAsia" w:ascii="仿宋_GB2312" w:hAnsi="仿宋_GB2312" w:eastAsia="仿宋_GB2312" w:cs="仿宋_GB2312"/>
          <w:sz w:val="32"/>
          <w:szCs w:val="32"/>
          <w:lang w:val="en-US" w:eastAsia="zh-CN"/>
        </w:rPr>
        <w:t>各学院要加强与社会有关单位和爱心企业的合作，积极争取和统筹社会资源支持志愿服务活动的开展，为志愿服务系列活动开展落实人员、经费等保障。要把支持志愿服务系列活动的开展与扶持培育公益志愿服务组织成长发展结合起来，力争在系列活动中凝聚一批志愿服务骨干力量，孵化一批优秀的公益志愿服务组织。</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atLeast"/>
        <w:ind w:right="0" w:rightChars="0" w:firstLine="320" w:firstLineChars="1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（三）创新形式，注重实效。</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精心设计服务项目，突出活动特色，切实加强活动的针对性和实效性，力使主题活动收到明显成效，引导团员青年从身边做起、从小事做起，将志愿服务融入日常生活，灵活多样地开展志愿服务。</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atLeast"/>
        <w:ind w:right="0" w:rightChars="0" w:firstLine="320" w:firstLineChars="1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（四）加强宣传，营造氛围。</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320" w:firstLineChars="1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各学院要将开展志愿服务系列活动与培育和践行社会主义核心价值观教育实践活动结合起来，更多报道志愿服务组织的活力、更多反映志愿者的事迹、更多宣传志愿服务的成效。要切实加强与新闻媒体的沟通、对接和合作，充分发挥传统媒体和新媒体的作用，打造立体式宣传网络，营造浓厚的志愿文化氛围。</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 w:hAnsi="仿宋" w:eastAsia="仿宋" w:cs="仿宋"/>
          <w:sz w:val="32"/>
          <w:szCs w:val="32"/>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"mailto:请各学院团委根据通知进行组织安排，填写附件《2019年\“春暖辽宁\”系列志愿活动规划表》，3月15日前将纸质版送到校团委，电子版发送至邮箱tw@dlou.edu.cn"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请各学院团委根据通知进行组织安排，按照活动内容填写附件《2019年“春暖大海大”系列志愿活动规划表》，</w:t>
      </w:r>
      <w:r>
        <w:rPr>
          <w:rFonts w:hint="eastAsia" w:ascii="仿宋_GB2312" w:hAnsi="仿宋_GB2312" w:eastAsia="仿宋_GB2312" w:cs="仿宋_GB2312"/>
          <w:b/>
          <w:bCs/>
          <w:sz w:val="32"/>
          <w:szCs w:val="32"/>
          <w:lang w:val="en-US" w:eastAsia="zh-CN"/>
        </w:rPr>
        <w:t>于3月15日前将纸质版送到校团委，电子版发送至邮箱tw@dlou.edu.cn</w:t>
      </w:r>
      <w:r>
        <w:rPr>
          <w:rFonts w:hint="eastAsia" w:ascii="仿宋_GB2312" w:hAnsi="仿宋_GB2312" w:eastAsia="仿宋_GB2312" w:cs="仿宋_GB2312"/>
          <w:sz w:val="32"/>
          <w:szCs w:val="32"/>
          <w:lang w:val="en-US" w:eastAsia="zh-CN"/>
        </w:rPr>
        <w:fldChar w:fldCharType="end"/>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活动联系人：郝晓    联系方式：84762830</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80"/>
        <w:jc w:val="both"/>
        <w:textAlignment w:val="auto"/>
        <w:outlineLvl w:val="9"/>
        <w:rPr>
          <w:rFonts w:hint="eastAsia" w:ascii="仿宋" w:hAnsi="仿宋" w:eastAsia="仿宋" w:cs="仿宋"/>
          <w:color w:val="000000"/>
          <w:sz w:val="34"/>
          <w:szCs w:val="34"/>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80"/>
        <w:jc w:val="both"/>
        <w:textAlignment w:val="auto"/>
        <w:outlineLvl w:val="9"/>
        <w:rPr>
          <w:rFonts w:hint="eastAsia" w:ascii="仿宋" w:hAnsi="仿宋" w:eastAsia="仿宋" w:cs="仿宋"/>
          <w:color w:val="000000"/>
          <w:sz w:val="34"/>
          <w:szCs w:val="34"/>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80"/>
        <w:jc w:val="both"/>
        <w:textAlignment w:val="auto"/>
        <w:outlineLvl w:val="9"/>
        <w:rPr>
          <w:rFonts w:hint="eastAsia" w:ascii="仿宋" w:hAnsi="仿宋" w:eastAsia="仿宋" w:cs="仿宋"/>
          <w:color w:val="000000"/>
          <w:sz w:val="34"/>
          <w:szCs w:val="34"/>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共青团大连海洋大学委员会</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680"/>
        <w:jc w:val="center"/>
        <w:textAlignment w:val="auto"/>
        <w:outlineLvl w:val="9"/>
        <w:rPr>
          <w:rFonts w:hint="eastAsia" w:ascii="仿宋" w:hAnsi="仿宋" w:eastAsia="仿宋" w:cs="仿宋"/>
          <w:color w:val="000000"/>
          <w:sz w:val="34"/>
          <w:szCs w:val="34"/>
          <w:lang w:val="en-US" w:eastAsia="zh-CN"/>
        </w:rPr>
      </w:pPr>
      <w:r>
        <w:rPr>
          <w:rFonts w:hint="eastAsia" w:ascii="仿宋" w:hAnsi="仿宋" w:eastAsia="仿宋" w:cs="仿宋"/>
          <w:color w:val="000000"/>
          <w:sz w:val="34"/>
          <w:szCs w:val="34"/>
          <w:lang w:val="en-US" w:eastAsia="zh-CN"/>
        </w:rPr>
        <w:t xml:space="preserve">                       </w:t>
      </w:r>
      <w:r>
        <w:rPr>
          <w:rFonts w:hint="eastAsia" w:ascii="仿宋_GB2312" w:hAnsi="仿宋_GB2312" w:eastAsia="仿宋_GB2312" w:cs="仿宋_GB2312"/>
          <w:sz w:val="32"/>
          <w:szCs w:val="32"/>
          <w:lang w:val="en-US" w:eastAsia="zh-CN"/>
        </w:rPr>
        <w:t xml:space="preserve">  2019年3月7日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 w:hAnsi="仿宋" w:eastAsia="仿宋" w:cs="仿宋"/>
          <w:sz w:val="32"/>
          <w:szCs w:val="32"/>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 w:hAnsi="仿宋" w:eastAsia="仿宋" w:cs="仿宋"/>
          <w:sz w:val="32"/>
          <w:szCs w:val="32"/>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 w:hAnsi="仿宋" w:eastAsia="仿宋" w:cs="仿宋"/>
          <w:sz w:val="32"/>
          <w:szCs w:val="32"/>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 w:hAnsi="仿宋" w:eastAsia="仿宋" w:cs="仿宋"/>
          <w:sz w:val="32"/>
          <w:szCs w:val="32"/>
          <w:lang w:val="en-US" w:eastAsia="zh-CN"/>
        </w:rPr>
        <w:sectPr>
          <w:headerReference r:id="rId3" w:type="default"/>
          <w:pgSz w:w="11850" w:h="16783"/>
          <w:pgMar w:top="1871" w:right="1474" w:bottom="1871" w:left="147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220" w:lineRule="atLeas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2019年“春暖大海大”系列志愿活动规划表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340" w:lineRule="atLeast"/>
        <w:jc w:val="center"/>
        <w:textAlignment w:val="auto"/>
        <w:outlineLvl w:val="9"/>
        <w:rPr>
          <w:rFonts w:hint="eastAsia" w:asciiTheme="majorEastAsia" w:hAnsiTheme="majorEastAsia" w:eastAsiaTheme="majorEastAsia" w:cstheme="majorEastAsia"/>
          <w:sz w:val="21"/>
          <w:szCs w:val="21"/>
          <w:lang w:val="en-US" w:eastAsia="zh-CN"/>
        </w:rPr>
      </w:pP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ind w:firstLine="420" w:firstLineChars="20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21"/>
          <w:szCs w:val="21"/>
          <w:u w:val="single" w:color="auto"/>
          <w:lang w:val="en-US" w:eastAsia="zh-CN"/>
        </w:rPr>
        <w:t xml:space="preserve">                             </w:t>
      </w:r>
      <w:r>
        <w:rPr>
          <w:rFonts w:hint="eastAsia" w:ascii="仿宋_GB2312" w:hAnsi="仿宋_GB2312" w:eastAsia="仿宋_GB2312" w:cs="仿宋_GB2312"/>
          <w:sz w:val="32"/>
          <w:szCs w:val="32"/>
          <w:u w:val="none" w:color="auto"/>
          <w:lang w:val="en-US" w:eastAsia="zh-CN"/>
        </w:rPr>
        <w:t>学院（盖章）</w:t>
      </w:r>
    </w:p>
    <w:tbl>
      <w:tblPr>
        <w:tblStyle w:val="13"/>
        <w:tblW w:w="13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108"/>
        <w:gridCol w:w="2016"/>
        <w:gridCol w:w="1536"/>
        <w:gridCol w:w="1896"/>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序号</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活动主题</w:t>
            </w: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活动形式</w:t>
            </w: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地点</w:t>
            </w: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参与人数</w:t>
            </w: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1</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2</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3</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4</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5</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6</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7</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center"/>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r>
              <w:rPr>
                <w:rFonts w:hint="eastAsia" w:asciiTheme="majorEastAsia" w:hAnsiTheme="majorEastAsia" w:eastAsiaTheme="majorEastAsia" w:cstheme="majorEastAsia"/>
                <w:sz w:val="32"/>
                <w:szCs w:val="32"/>
                <w:u w:val="none" w:color="auto"/>
                <w:vertAlign w:val="baseline"/>
                <w:lang w:val="en-US" w:eastAsia="zh-CN"/>
              </w:rPr>
              <w:t>...</w:t>
            </w:r>
          </w:p>
        </w:tc>
        <w:tc>
          <w:tcPr>
            <w:tcW w:w="310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201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53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1896"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c>
          <w:tcPr>
            <w:tcW w:w="3718" w:type="dxa"/>
          </w:tcPr>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vertAlign w:val="baseline"/>
                <w:lang w:val="en-US" w:eastAsia="zh-CN"/>
              </w:rPr>
            </w:pPr>
          </w:p>
        </w:tc>
      </w:tr>
    </w:tbl>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atLeast"/>
        <w:jc w:val="both"/>
        <w:textAlignment w:val="auto"/>
        <w:outlineLvl w:val="9"/>
        <w:rPr>
          <w:rFonts w:hint="eastAsia" w:asciiTheme="majorEastAsia" w:hAnsiTheme="majorEastAsia" w:eastAsiaTheme="majorEastAsia" w:cstheme="majorEastAsia"/>
          <w:sz w:val="32"/>
          <w:szCs w:val="32"/>
          <w:u w:val="none" w:color="auto"/>
          <w:lang w:val="en-US" w:eastAsia="zh-CN"/>
        </w:rPr>
      </w:pPr>
    </w:p>
    <w:sectPr>
      <w:pgSz w:w="16783" w:h="11850" w:orient="landscape"/>
      <w:pgMar w:top="1474" w:right="1871" w:bottom="1474" w:left="187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71B34-06E6-4C1C-9FBD-D56C916E08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Times New Roman"/>
    <w:panose1 w:val="00000000000000000000"/>
    <w:charset w:val="00"/>
    <w:family w:val="roman"/>
    <w:pitch w:val="default"/>
    <w:sig w:usb0="00000000" w:usb1="00000000" w:usb2="00000008" w:usb3="00000000" w:csb0="000001FF" w:csb1="0000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2FF" w:usb1="400004FF" w:usb2="00000000" w:usb3="00000000" w:csb0="2000019F" w:csb1="00000000"/>
  </w:font>
  <w:font w:name=".PingFang SC">
    <w:altName w:val="Arial"/>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2" w:fontKey="{BECEA532-A016-404A-98CF-15E0A297149B}"/>
  </w:font>
  <w:font w:name="仿宋_GB2312">
    <w:panose1 w:val="02010609030101010101"/>
    <w:charset w:val="86"/>
    <w:family w:val="auto"/>
    <w:pitch w:val="default"/>
    <w:sig w:usb0="00000001" w:usb1="080E0000" w:usb2="00000000" w:usb3="00000000" w:csb0="00040000" w:csb1="00000000"/>
    <w:embedRegular r:id="rId3" w:fontKey="{5D7E7A10-8554-4354-B92F-12DDE6EC0470}"/>
  </w:font>
  <w:font w:name="楷体">
    <w:panose1 w:val="02010609060101010101"/>
    <w:charset w:val="86"/>
    <w:family w:val="auto"/>
    <w:pitch w:val="default"/>
    <w:sig w:usb0="800002BF" w:usb1="38CF7CFA" w:usb2="00000016" w:usb3="00000000" w:csb0="00040001" w:csb1="00000000"/>
    <w:embedRegular r:id="rId4" w:fontKey="{712275A8-6B62-4C31-AE5A-91B7E4346539}"/>
  </w:font>
  <w:font w:name="仿宋">
    <w:panose1 w:val="02010609060101010101"/>
    <w:charset w:val="86"/>
    <w:family w:val="modern"/>
    <w:pitch w:val="default"/>
    <w:sig w:usb0="800002BF" w:usb1="38CF7CFA" w:usb2="00000016" w:usb3="00000000" w:csb0="00040001" w:csb1="00000000"/>
    <w:embedRegular r:id="rId5" w:fontKey="{2333FD1E-3063-4B76-84C0-41FC644E748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62D55"/>
    <w:multiLevelType w:val="singleLevel"/>
    <w:tmpl w:val="83962D55"/>
    <w:lvl w:ilvl="0" w:tentative="0">
      <w:start w:val="1"/>
      <w:numFmt w:val="chineseCounting"/>
      <w:suff w:val="nothing"/>
      <w:lvlText w:val="%1、"/>
      <w:lvlJc w:val="left"/>
      <w:rPr>
        <w:rFonts w:hint="eastAsia"/>
      </w:rPr>
    </w:lvl>
  </w:abstractNum>
  <w:abstractNum w:abstractNumId="1">
    <w:nsid w:val="E63CD03C"/>
    <w:multiLevelType w:val="singleLevel"/>
    <w:tmpl w:val="E63CD03C"/>
    <w:lvl w:ilvl="0" w:tentative="0">
      <w:start w:val="1"/>
      <w:numFmt w:val="chineseCounting"/>
      <w:suff w:val="nothing"/>
      <w:lvlText w:val="（%1）"/>
      <w:lvlJc w:val="left"/>
      <w:pPr>
        <w:ind w:left="16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2265"/>
    <w:rsid w:val="067C1B88"/>
    <w:rsid w:val="069C4D4F"/>
    <w:rsid w:val="0A927DC2"/>
    <w:rsid w:val="0B4C5713"/>
    <w:rsid w:val="0CD4375B"/>
    <w:rsid w:val="188332ED"/>
    <w:rsid w:val="1904160D"/>
    <w:rsid w:val="290803B4"/>
    <w:rsid w:val="2AB5329A"/>
    <w:rsid w:val="2ACD1FD8"/>
    <w:rsid w:val="2D9765AC"/>
    <w:rsid w:val="306D5819"/>
    <w:rsid w:val="350644F9"/>
    <w:rsid w:val="3AFD1CCF"/>
    <w:rsid w:val="428E213A"/>
    <w:rsid w:val="4CA70D5B"/>
    <w:rsid w:val="51C53387"/>
    <w:rsid w:val="520548BA"/>
    <w:rsid w:val="52252092"/>
    <w:rsid w:val="5A806791"/>
    <w:rsid w:val="5F541170"/>
    <w:rsid w:val="600D5D9F"/>
    <w:rsid w:val="6B5E448E"/>
    <w:rsid w:val="6C8C4397"/>
    <w:rsid w:val="70C27FD1"/>
    <w:rsid w:val="727922CD"/>
    <w:rsid w:val="73504029"/>
    <w:rsid w:val="73B0614F"/>
    <w:rsid w:val="73FF4F20"/>
    <w:rsid w:val="7A08176D"/>
    <w:rsid w:val="7A6B1312"/>
    <w:rsid w:val="7FFA5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en-US" w:bidi="ar-SA"/>
    </w:rPr>
  </w:style>
  <w:style w:type="paragraph" w:styleId="2">
    <w:name w:val="heading 1"/>
    <w:next w:val="1"/>
    <w:qFormat/>
    <w:uiPriority w:val="0"/>
    <w:pPr>
      <w:keepNext/>
      <w:keepLines/>
      <w:framePr w:wrap="around" w:vAnchor="margin" w:hAnchor="text" w:yAlign="top"/>
      <w:widowControl w:val="0"/>
      <w:spacing w:before="340" w:after="330" w:line="576" w:lineRule="auto"/>
      <w:jc w:val="both"/>
      <w:outlineLvl w:val="0"/>
    </w:pPr>
    <w:rPr>
      <w:rFonts w:ascii="Calibri" w:hAnsi="Calibri" w:eastAsia="Calibri" w:cs="Calibri"/>
      <w:b/>
      <w:bCs/>
      <w:color w:val="000000"/>
      <w:kern w:val="44"/>
      <w:sz w:val="44"/>
      <w:szCs w:val="44"/>
      <w:u w:color="000000"/>
      <w:lang w:val="en-US" w:eastAsia="zh-CN" w:bidi="bo-CN"/>
    </w:rPr>
  </w:style>
  <w:style w:type="character" w:default="1" w:styleId="9">
    <w:name w:val="Default Paragraph Font"/>
    <w:qFormat/>
    <w:uiPriority w:val="1"/>
  </w:style>
  <w:style w:type="table" w:default="1" w:styleId="12">
    <w:name w:val="Normal Table"/>
    <w:qFormat/>
    <w:uiPriority w:val="99"/>
    <w:tblPr>
      <w:tblLayout w:type="fixed"/>
      <w:tblCellMar>
        <w:top w:w="0" w:type="dxa"/>
        <w:left w:w="108" w:type="dxa"/>
        <w:bottom w:w="0" w:type="dxa"/>
        <w:right w:w="108" w:type="dxa"/>
      </w:tblCellMar>
    </w:tblPr>
  </w:style>
  <w:style w:type="paragraph" w:styleId="3">
    <w:name w:val="Balloon Text"/>
    <w:basedOn w:val="1"/>
    <w:link w:val="19"/>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21"/>
    <w:qFormat/>
    <w:uiPriority w:val="0"/>
    <w:pPr>
      <w:framePr w:yAlign="inline"/>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hint="eastAsia" w:ascii="PingFang SC" w:hAnsi="PingFang SC" w:eastAsia="PingFang SC" w:cs="PingFang SC"/>
      <w:color w:val="auto"/>
      <w:kern w:val="0"/>
      <w:sz w:val="24"/>
      <w:szCs w:val="24"/>
      <w:lang w:eastAsia="zh-CN"/>
    </w:rPr>
  </w:style>
  <w:style w:type="paragraph" w:styleId="7">
    <w:name w:val="Normal (Web)"/>
    <w:basedOn w:val="1"/>
    <w:qFormat/>
    <w:uiPriority w:val="99"/>
    <w:rPr>
      <w:rFonts w:eastAsia="宋体" w:cs="Microsoft Himalaya"/>
      <w:color w:val="auto"/>
      <w:sz w:val="24"/>
      <w:szCs w:val="24"/>
      <w:lang w:eastAsia="zh-CN"/>
    </w:rPr>
  </w:style>
  <w:style w:type="paragraph" w:styleId="8">
    <w:name w:val="Title"/>
    <w:next w:val="1"/>
    <w:qFormat/>
    <w:uiPriority w:val="0"/>
    <w:pPr>
      <w:framePr w:wrap="around" w:vAnchor="margin" w:hAnchor="text" w:yAlign="top"/>
      <w:widowControl w:val="0"/>
      <w:spacing w:before="240" w:after="60"/>
      <w:jc w:val="center"/>
      <w:outlineLvl w:val="0"/>
    </w:pPr>
    <w:rPr>
      <w:rFonts w:ascii="Cambria" w:hAnsi="Cambria" w:eastAsia="Cambria" w:cs="Cambria"/>
      <w:b/>
      <w:bCs/>
      <w:color w:val="000000"/>
      <w:sz w:val="32"/>
      <w:szCs w:val="32"/>
      <w:u w:color="000000"/>
      <w:lang w:val="en-US" w:eastAsia="zh-CN" w:bidi="bo-CN"/>
    </w:rPr>
  </w:style>
  <w:style w:type="character" w:styleId="10">
    <w:name w:val="Strong"/>
    <w:basedOn w:val="9"/>
    <w:qFormat/>
    <w:uiPriority w:val="0"/>
    <w:rPr>
      <w:b/>
    </w:rPr>
  </w:style>
  <w:style w:type="character" w:styleId="11">
    <w:name w:val="Hyperlink"/>
    <w:basedOn w:val="9"/>
    <w:qFormat/>
    <w:uiPriority w:val="99"/>
    <w:rPr>
      <w:color w:val="0000FF"/>
      <w:u w:val="single"/>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quot;列出段落1&quot;"/>
    <w:qFormat/>
    <w:uiPriority w:val="0"/>
    <w:pPr>
      <w:framePr w:wrap="around" w:vAnchor="margin" w:hAnchor="text" w:yAlign="top"/>
      <w:widowControl w:val="0"/>
      <w:ind w:firstLine="420"/>
      <w:jc w:val="both"/>
    </w:pPr>
    <w:rPr>
      <w:rFonts w:ascii="Calibri" w:hAnsi="Calibri" w:eastAsia="Calibri" w:cs="Calibri"/>
      <w:color w:val="000000"/>
      <w:kern w:val="2"/>
      <w:sz w:val="21"/>
      <w:szCs w:val="21"/>
      <w:u w:color="000000"/>
      <w:lang w:val="en-US" w:eastAsia="zh-CN" w:bidi="bo-CN"/>
    </w:rPr>
  </w:style>
  <w:style w:type="paragraph" w:customStyle="1" w:styleId="15">
    <w:name w:val="列出段落1"/>
    <w:qFormat/>
    <w:uiPriority w:val="34"/>
    <w:pPr>
      <w:framePr w:wrap="around" w:vAnchor="margin" w:hAnchor="text" w:yAlign="top"/>
      <w:widowControl w:val="0"/>
      <w:ind w:firstLine="420"/>
      <w:jc w:val="both"/>
    </w:pPr>
    <w:rPr>
      <w:rFonts w:ascii="Calibri" w:hAnsi="Calibri" w:eastAsia="Calibri" w:cs="Calibri"/>
      <w:color w:val="000000"/>
      <w:kern w:val="2"/>
      <w:sz w:val="21"/>
      <w:szCs w:val="21"/>
      <w:u w:color="000000"/>
      <w:lang w:val="en-US" w:eastAsia="zh-CN" w:bidi="bo-CN"/>
    </w:rPr>
  </w:style>
  <w:style w:type="paragraph" w:customStyle="1" w:styleId="16">
    <w:name w:val="列出段落11"/>
    <w:qFormat/>
    <w:uiPriority w:val="0"/>
    <w:pPr>
      <w:framePr w:wrap="around" w:vAnchor="margin" w:hAnchor="text" w:yAlign="top"/>
      <w:widowControl w:val="0"/>
      <w:ind w:firstLine="420"/>
      <w:jc w:val="both"/>
    </w:pPr>
    <w:rPr>
      <w:rFonts w:ascii="Calibri" w:hAnsi="Calibri" w:eastAsia="Calibri" w:cs="Calibri"/>
      <w:color w:val="000000"/>
      <w:kern w:val="2"/>
      <w:sz w:val="21"/>
      <w:szCs w:val="21"/>
      <w:u w:color="000000"/>
      <w:lang w:val="en-US" w:eastAsia="zh-CN" w:bidi="bo-CN"/>
    </w:rPr>
  </w:style>
  <w:style w:type="paragraph" w:customStyle="1" w:styleId="17">
    <w:name w:val="p1"/>
    <w:basedOn w:val="1"/>
    <w:qFormat/>
    <w:uiPriority w:val="0"/>
    <w:pPr>
      <w:widowControl/>
      <w:jc w:val="left"/>
    </w:pPr>
    <w:rPr>
      <w:rFonts w:ascii=".PingFang SC" w:hAnsi=".PingFang SC" w:eastAsia="宋体" w:cs="宋体"/>
      <w:color w:val="454545"/>
      <w:kern w:val="0"/>
      <w:sz w:val="26"/>
      <w:szCs w:val="26"/>
      <w:lang w:eastAsia="zh-CN"/>
    </w:rPr>
  </w:style>
  <w:style w:type="paragraph" w:customStyle="1" w:styleId="18">
    <w:name w:val="列出段落2"/>
    <w:basedOn w:val="1"/>
    <w:qFormat/>
    <w:uiPriority w:val="34"/>
    <w:pPr>
      <w:ind w:firstLine="420" w:firstLineChars="200"/>
    </w:pPr>
    <w:rPr>
      <w:rFonts w:hint="eastAsia" w:eastAsia="宋体" w:cs="黑体"/>
      <w:szCs w:val="24"/>
      <w:lang w:eastAsia="zh-CN"/>
    </w:rPr>
  </w:style>
  <w:style w:type="character" w:customStyle="1" w:styleId="19">
    <w:name w:val="批注框文本 Char"/>
    <w:basedOn w:val="9"/>
    <w:link w:val="3"/>
    <w:qFormat/>
    <w:uiPriority w:val="99"/>
    <w:rPr>
      <w:rFonts w:ascii="Calibri" w:hAnsi="Calibri" w:eastAsia="Calibri" w:cs="Calibri"/>
      <w:color w:val="000000"/>
      <w:kern w:val="2"/>
      <w:sz w:val="18"/>
      <w:szCs w:val="18"/>
      <w:u w:color="000000"/>
      <w:lang w:eastAsia="en-US" w:bidi="ar-SA"/>
    </w:rPr>
  </w:style>
  <w:style w:type="paragraph" w:styleId="20">
    <w:name w:val="List Paragraph"/>
    <w:basedOn w:val="1"/>
    <w:qFormat/>
    <w:uiPriority w:val="99"/>
    <w:pPr>
      <w:ind w:firstLine="420" w:firstLineChars="200"/>
    </w:pPr>
  </w:style>
  <w:style w:type="character" w:customStyle="1" w:styleId="21">
    <w:name w:val="HTML 预设格式 Char"/>
    <w:basedOn w:val="9"/>
    <w:link w:val="6"/>
    <w:qFormat/>
    <w:uiPriority w:val="0"/>
    <w:rPr>
      <w:rFonts w:ascii="PingFang SC" w:hAnsi="PingFang SC" w:eastAsia="PingFang SC" w:cs="PingFang SC"/>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DE6FD-AB92-40D1-A3D9-AE61FD08F5E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1096</Words>
  <Characters>1116</Characters>
  <Paragraphs>60</Paragraphs>
  <TotalTime>19</TotalTime>
  <ScaleCrop>false</ScaleCrop>
  <LinksUpToDate>false</LinksUpToDate>
  <CharactersWithSpaces>1136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2017-10-04T17:23:00Z</dcterms:created>
  <dc:creator>wk</dc:creator>
  <cp:lastModifiedBy>郝晓</cp:lastModifiedBy>
  <cp:lastPrinted>2017-11-29T09:33:00Z</cp:lastPrinted>
  <dcterms:modified xsi:type="dcterms:W3CDTF">2019-03-07T02:32:22Z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